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677-т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608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19 декабря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608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«Ямалкоммунэнерго» (филиал акционерного общества «Ямалкоммунэнерго» в городе Губкинский) тарифов на водоотведение для расчетов с потребителями городского округа город Губкинский Ямало-Ненецкого автономного округа и дол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госрочных параметров регулирования тарифов на 2024 - 2030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677-т</w:t>
      </w:r>
      <w:r>
        <w:rPr>
          <w:rFonts w:ascii="Liberation Sans" w:hAnsi="Liberation Sans" w:cs="Liberation Sans"/>
          <w:sz w:val="24"/>
          <w:szCs w:val="24"/>
        </w:rPr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  <w:r>
        <w:rPr>
          <w:rFonts w:ascii="Liberation Sans" w:hAnsi="Liberation Sans" w:cs="Liberation Sans"/>
          <w:sz w:val="24"/>
          <w:szCs w:val="24"/>
        </w:rPr>
      </w:r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608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119,63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135,02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135,02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171,00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yellow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145,35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156,48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156,48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168,45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168,45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181,35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181,35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195,23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195,23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210,17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47,93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50,23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50,23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54,84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57,51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60,27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60,27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65,81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водоотведения,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         ».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modified xsi:type="dcterms:W3CDTF">2024-12-25T13:36:44Z</dcterms:modified>
</cp:coreProperties>
</file>